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7900" w:rsidR="00B76866" w:rsidP="752389DB" w:rsidRDefault="00862425" w14:paraId="40A6B4AA" w14:textId="11BDF221" w14:noSpellErr="1">
      <w:pPr>
        <w:pStyle w:val="Heading1"/>
        <w:rPr>
          <w:rFonts w:ascii="Arial Nova" w:hAnsi="Arial Nova" w:eastAsia="Arial Nova" w:cs="Arial Nova"/>
          <w:sz w:val="32"/>
          <w:szCs w:val="32"/>
          <w:lang w:val="de-CH" w:eastAsia="de-DE"/>
        </w:rPr>
      </w:pPr>
      <w:r w:rsidRPr="752389DB" w:rsidR="00862425">
        <w:rPr>
          <w:rFonts w:ascii="Arial Nova" w:hAnsi="Arial Nova" w:eastAsia="Arial Nova" w:cs="Arial Nova"/>
          <w:sz w:val="32"/>
          <w:szCs w:val="32"/>
          <w:lang w:val="de-CH" w:eastAsia="de-DE"/>
        </w:rPr>
        <w:t xml:space="preserve">Beobachtungsraster </w:t>
      </w:r>
      <w:r w:rsidRPr="752389DB" w:rsidR="001F1178">
        <w:rPr>
          <w:rFonts w:ascii="Arial Nova" w:hAnsi="Arial Nova" w:eastAsia="Arial Nova" w:cs="Arial Nova"/>
          <w:sz w:val="32"/>
          <w:szCs w:val="32"/>
          <w:lang w:val="de-CH" w:eastAsia="de-DE"/>
        </w:rPr>
        <w:t>für eine</w:t>
      </w:r>
      <w:r w:rsidRPr="752389DB" w:rsidR="00DF67A0">
        <w:rPr>
          <w:rFonts w:ascii="Arial Nova" w:hAnsi="Arial Nova" w:eastAsia="Arial Nova" w:cs="Arial Nova"/>
          <w:sz w:val="32"/>
          <w:szCs w:val="32"/>
          <w:lang w:val="de-CH" w:eastAsia="de-DE"/>
        </w:rPr>
        <w:t xml:space="preserve"> </w:t>
      </w:r>
      <w:r w:rsidRPr="752389DB" w:rsidR="00907404">
        <w:rPr>
          <w:rFonts w:ascii="Arial Nova" w:hAnsi="Arial Nova" w:eastAsia="Arial Nova" w:cs="Arial Nova"/>
          <w:sz w:val="32"/>
          <w:szCs w:val="32"/>
          <w:lang w:val="de-CH" w:eastAsia="de-DE"/>
        </w:rPr>
        <w:t>Hospitation</w:t>
      </w:r>
      <w:r w:rsidRPr="752389DB" w:rsidR="00907404">
        <w:rPr>
          <w:rFonts w:ascii="Arial Nova" w:hAnsi="Arial Nova" w:eastAsia="Arial Nova" w:cs="Arial Nova"/>
          <w:sz w:val="32"/>
          <w:szCs w:val="32"/>
          <w:lang w:val="de-CH" w:eastAsia="de-DE"/>
        </w:rPr>
        <w:t xml:space="preserve"> </w:t>
      </w:r>
      <w:r w:rsidRPr="752389DB" w:rsidR="000E7049">
        <w:rPr>
          <w:rFonts w:ascii="Arial Nova" w:hAnsi="Arial Nova" w:eastAsia="Arial Nova" w:cs="Arial Nova"/>
          <w:sz w:val="32"/>
          <w:szCs w:val="32"/>
          <w:lang w:val="de-CH" w:eastAsia="de-DE"/>
        </w:rPr>
        <w:t xml:space="preserve">in </w:t>
      </w:r>
      <w:r w:rsidRPr="752389DB" w:rsidR="00DF67A0">
        <w:rPr>
          <w:rFonts w:ascii="Arial Nova" w:hAnsi="Arial Nova" w:eastAsia="Arial Nova" w:cs="Arial Nova"/>
          <w:sz w:val="32"/>
          <w:szCs w:val="32"/>
          <w:lang w:val="de-CH" w:eastAsia="de-DE"/>
        </w:rPr>
        <w:t xml:space="preserve">einem Kurs </w:t>
      </w:r>
      <w:r w:rsidRPr="752389DB" w:rsidR="000E7049">
        <w:rPr>
          <w:rFonts w:ascii="Arial Nova" w:hAnsi="Arial Nova" w:eastAsia="Arial Nova" w:cs="Arial Nova"/>
          <w:sz w:val="32"/>
          <w:szCs w:val="32"/>
          <w:lang w:val="de-CH" w:eastAsia="de-DE"/>
        </w:rPr>
        <w:t>Grundkompetenz</w:t>
      </w:r>
      <w:r w:rsidRPr="752389DB" w:rsidR="00DF67A0">
        <w:rPr>
          <w:rFonts w:ascii="Arial Nova" w:hAnsi="Arial Nova" w:eastAsia="Arial Nova" w:cs="Arial Nova"/>
          <w:sz w:val="32"/>
          <w:szCs w:val="32"/>
          <w:lang w:val="de-CH" w:eastAsia="de-DE"/>
        </w:rPr>
        <w:t>en</w:t>
      </w:r>
      <w:r w:rsidRPr="752389DB" w:rsidR="000E7049">
        <w:rPr>
          <w:rFonts w:ascii="Arial Nova" w:hAnsi="Arial Nova" w:eastAsia="Arial Nova" w:cs="Arial Nova"/>
          <w:sz w:val="32"/>
          <w:szCs w:val="32"/>
          <w:lang w:val="de-CH" w:eastAsia="de-DE"/>
        </w:rPr>
        <w:t xml:space="preserve"> </w:t>
      </w:r>
    </w:p>
    <w:p w:rsidRPr="00907404" w:rsidR="00786DF0" w:rsidP="752389DB" w:rsidRDefault="00786DF0" w14:paraId="54BB0213" w14:textId="77777777" w14:noSpellErr="1">
      <w:pPr>
        <w:pStyle w:val="NoSpacing"/>
        <w:rPr>
          <w:rFonts w:ascii="Arial Nova" w:hAnsi="Arial Nova" w:eastAsia="Arial Nova" w:cs="Arial Nova"/>
          <w:color w:val="1F3864"/>
          <w:sz w:val="20"/>
          <w:szCs w:val="20"/>
          <w:lang w:val="de-CH" w:eastAsia="de-DE"/>
        </w:rPr>
      </w:pPr>
    </w:p>
    <w:tbl>
      <w:tblPr>
        <w:tblStyle w:val="TableGrid"/>
        <w:tblW w:w="1399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8477"/>
        <w:gridCol w:w="3634"/>
      </w:tblGrid>
      <w:tr w:rsidR="3F30C329" w:rsidTr="752389DB" w14:paraId="494BF8AD" w14:textId="77777777">
        <w:trPr>
          <w:trHeight w:val="300"/>
        </w:trPr>
        <w:tc>
          <w:tcPr>
            <w:tcW w:w="188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3F30C329" w14:paraId="63AE33AB" w14:textId="1EE72EB5" w14:noSpellErr="1">
            <w:pPr>
              <w:jc w:val="center"/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  <w:tc>
          <w:tcPr>
            <w:tcW w:w="847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3F30C329" w14:paraId="6634236E" w14:textId="77777777" w14:noSpellErr="1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val="de-CH" w:eastAsia="de-DE"/>
              </w:rPr>
              <w:t>Beobachtete Praxis</w:t>
            </w:r>
          </w:p>
          <w:p w:rsidRPr="00907404" w:rsidR="002A1A05" w:rsidP="752389DB" w:rsidRDefault="51BD03C8" w14:paraId="7ECE7D5B" w14:textId="46C6EF41" w14:noSpellErr="1">
            <w:pPr>
              <w:jc w:val="center"/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51BD03C8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Der/die Kursleitende</w:t>
            </w:r>
            <w:r w:rsidRPr="752389DB" w:rsidR="51BD03C8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 ...</w:t>
            </w:r>
          </w:p>
        </w:tc>
        <w:tc>
          <w:tcPr>
            <w:tcW w:w="363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8C3AA7" w:rsidR="3F30C329" w:rsidP="752389DB" w:rsidRDefault="00904B60" w14:paraId="343C6571" w14:textId="78FCA3B5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color w:val="1F3864" w:themeColor="accent5" w:themeShade="80"/>
                <w:sz w:val="22"/>
                <w:szCs w:val="22"/>
                <w:lang w:eastAsia="de-DE"/>
              </w:rPr>
            </w:pPr>
            <w:r w:rsidRPr="752389DB" w:rsidR="00904B60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Beobachtungen</w:t>
            </w:r>
            <w:r w:rsidRPr="752389DB" w:rsidR="1E90837B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</w:t>
            </w:r>
            <w:r w:rsidRPr="752389DB" w:rsidR="1E90837B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während</w:t>
            </w:r>
            <w:r w:rsidRPr="752389DB" w:rsidR="1E90837B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der </w:t>
            </w:r>
            <w:r w:rsidRPr="752389DB" w:rsidR="1E90837B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Hospitation</w:t>
            </w:r>
          </w:p>
        </w:tc>
      </w:tr>
      <w:tr w:rsidRPr="00DA7EDE" w:rsidR="3F30C329" w:rsidTr="752389DB" w14:paraId="46B7A7DA" w14:textId="77777777">
        <w:trPr>
          <w:trHeight w:val="300"/>
        </w:trPr>
        <w:tc>
          <w:tcPr>
            <w:tcW w:w="1884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Pr="008C3AA7" w:rsidR="3F30C329" w:rsidP="752389DB" w:rsidRDefault="00CA1FB0" w14:paraId="7A5E7D22" w14:textId="3125883A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color w:val="1F3864" w:themeColor="accent5" w:themeShade="80"/>
                <w:sz w:val="22"/>
                <w:szCs w:val="22"/>
                <w:lang w:eastAsia="de-DE"/>
              </w:rPr>
            </w:pPr>
            <w:r w:rsidRPr="752389DB" w:rsidR="00CA1FB0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Selbst-kompetenz</w:t>
            </w: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19A92A31" w14:textId="4D959A24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verwendet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eine nonverbale Sprache</w:t>
            </w:r>
            <w:r w:rsidRPr="752389DB" w:rsidR="00E331CE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, Gesten und Gesichtsausdrücke,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die das Lernen unterstützen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4D1BDB9B" w14:textId="203B7F10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CE2CDC" w:rsidR="3F30C329" w:rsidTr="752389DB" w14:paraId="026F491C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4C1CB0A8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20F444D8" w14:textId="208917DB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verwendet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eine dem Zielpublikum angemessene Sprache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6A4E8D36" w14:textId="1AC1624A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CE2CDC" w:rsidR="3F30C329" w:rsidTr="752389DB" w14:paraId="00B86E89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5AE65D10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E331CE" w14:paraId="2940F7C1" w14:textId="51C39258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E331CE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ermutigt die Teilnehme</w:t>
            </w:r>
            <w:r w:rsidRPr="752389DB" w:rsidR="00331B6C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nden</w:t>
            </w:r>
            <w:r w:rsidRPr="752389DB" w:rsidR="00E331CE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 durch </w:t>
            </w:r>
            <w:r w:rsidRPr="752389DB" w:rsidR="00331B6C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angepasste </w:t>
            </w:r>
            <w:r w:rsidRPr="752389DB" w:rsidR="00E331CE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Formulierungen 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32056772" w14:textId="52AA0C75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CE2CDC" w:rsidR="3F30C329" w:rsidTr="752389DB" w14:paraId="4E692699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5BBF1B8D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3F30C329" w14:paraId="1A59F3F2" w14:textId="23DB27D1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berücksichtigt den </w:t>
            </w:r>
            <w:r w:rsidRPr="752389DB" w:rsidR="00E331CE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sozialen und emotionalen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Kontext der Lernenden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0AE25AAA" w14:textId="27B94E35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CE2CDC" w:rsidR="3F30C329" w:rsidTr="752389DB" w14:paraId="62133359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0E33683E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4EA7F232" w14:textId="20CB9F55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interagiert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mit Leichtigkeit, Wohlwollen und Respekt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5D97148C" w14:textId="64D8E7BD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CE2CDC" w:rsidR="3F30C329" w:rsidTr="752389DB" w14:paraId="6DF54083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2CF89D19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4CE53EFE" w14:textId="6FD9149D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fördert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die Eigeninitiative der Lernenden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3B8F021B" w14:textId="4F305A5F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CE2CDC" w:rsidR="3F30C329" w:rsidTr="752389DB" w14:paraId="6FAC4FC0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329433EE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2C0F4A32" w14:paraId="74838125" w14:textId="7EDC04CF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  <w:r w:rsidRPr="752389DB" w:rsidR="2C0F4A32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unterscheidet </w:t>
            </w:r>
            <w:r w:rsidRPr="752389DB" w:rsidR="067970C0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zwischen eigenen Werten und der Haltung im Kurs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6F53FE5D" w14:textId="70C74330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CE2CDC" w:rsidR="3F30C329" w:rsidTr="752389DB" w14:paraId="12ED2222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3F0C3DF1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Borders>
              <w:bottom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3F30C329" w14:paraId="7BABF1DE" w14:textId="695393F9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geht mit Unvorhergesehenem in einer Weise um, die den Bedürfnissen der Lernenden entspricht</w:t>
            </w:r>
          </w:p>
        </w:tc>
        <w:tc>
          <w:tcPr>
            <w:tcW w:w="3634" w:type="dxa"/>
            <w:tcBorders>
              <w:bottom w:val="single" w:color="auto" w:sz="8" w:space="0"/>
            </w:tcBorders>
            <w:tcMar>
              <w:left w:w="108" w:type="dxa"/>
              <w:right w:w="108" w:type="dxa"/>
            </w:tcMar>
          </w:tcPr>
          <w:p w:rsidRPr="00907404" w:rsidR="3F30C329" w:rsidP="752389DB" w:rsidRDefault="3F30C329" w14:paraId="0150F03F" w14:textId="53DAB330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139BD1DE" w14:textId="77777777">
        <w:trPr>
          <w:trHeight w:val="60"/>
        </w:trPr>
        <w:tc>
          <w:tcPr>
            <w:tcW w:w="13995" w:type="dxa"/>
            <w:gridSpan w:val="3"/>
            <w:tcBorders>
              <w:top w:val="nil"/>
              <w:left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3F30C329" w14:paraId="5C76F1F3" w14:textId="206B1BBD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33A71766" w14:textId="77777777">
        <w:trPr>
          <w:trHeight w:val="300"/>
        </w:trPr>
        <w:tc>
          <w:tcPr>
            <w:tcW w:w="1884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Pr="008C3AA7" w:rsidR="3F30C329" w:rsidP="752389DB" w:rsidRDefault="3F30C329" w14:paraId="08BE909E" w14:textId="4BFB031B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color w:val="1F3864" w:themeColor="accent5" w:themeShade="80"/>
                <w:sz w:val="22"/>
                <w:szCs w:val="22"/>
                <w:lang w:eastAsia="de-DE"/>
              </w:rPr>
            </w:pP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Soziale</w:t>
            </w: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</w:t>
            </w: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Kompetenzen</w:t>
            </w: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14F190C6" w14:textId="30F8153F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erleichtert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die soziale Interaktion in der Gruppe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48D4213C" w14:textId="2BCD1BBB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</w:p>
        </w:tc>
      </w:tr>
      <w:tr w:rsidRPr="008C749C" w:rsidR="3F30C329" w:rsidTr="752389DB" w14:paraId="0EFA785E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12CDBEDE" w14:textId="77777777">
            <w:pPr>
              <w:rPr>
                <w:rFonts w:ascii="CircularXX Book" w:hAnsi="CircularXX Book" w:eastAsia="CircularXX Book" w:cs="CircularXX Book"/>
                <w:b/>
                <w:color w:val="1F3864" w:themeColor="accent5" w:themeShade="80"/>
                <w:sz w:val="20"/>
                <w:szCs w:val="20"/>
                <w:lang w:val="de-CH" w:eastAsia="de-DE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3F30C329" w14:paraId="1490FA7E" w14:textId="03A4517C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geht konstruktiv mit Meinungsverschiedenheiten und lernhemmenden Einstellungen um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5BA3977A" w14:textId="70F1D1B2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</w:p>
        </w:tc>
      </w:tr>
      <w:tr w:rsidRPr="008C749C" w:rsidR="3F30C329" w:rsidTr="752389DB" w14:paraId="3FF59105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0E827C8F" w14:textId="77777777">
            <w:pPr>
              <w:rPr>
                <w:rFonts w:ascii="CircularXX Book" w:hAnsi="CircularXX Book" w:eastAsia="CircularXX Book" w:cs="CircularXX Book"/>
                <w:b/>
                <w:color w:val="1F3864" w:themeColor="accent5" w:themeShade="80"/>
                <w:sz w:val="20"/>
                <w:szCs w:val="20"/>
                <w:lang w:val="de-CH" w:eastAsia="de-DE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769FD50A" w14:textId="32ABA220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fördert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die Entwicklung von Beziehungen zur gegenseitigen Unterstützung innerhalb der Gruppe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729D90F3" w14:textId="5E84131A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</w:p>
        </w:tc>
      </w:tr>
      <w:tr w:rsidRPr="008C749C" w:rsidR="3F30C329" w:rsidTr="752389DB" w14:paraId="61A479A1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5150D2E2" w14:textId="77777777">
            <w:pPr>
              <w:rPr>
                <w:rFonts w:ascii="CircularXX Book" w:hAnsi="CircularXX Book" w:eastAsia="CircularXX Book" w:cs="CircularXX Book"/>
                <w:b/>
                <w:color w:val="1F3864" w:themeColor="accent5" w:themeShade="80"/>
                <w:sz w:val="20"/>
                <w:szCs w:val="20"/>
                <w:lang w:val="de-CH" w:eastAsia="de-DE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2186F1BD" w14:textId="67EC9D3E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variiert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die Formen der sozialen Organisation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32A5AE14" w14:textId="4769225D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</w:p>
        </w:tc>
      </w:tr>
      <w:tr w:rsidRPr="008C749C" w:rsidR="3F30C329" w:rsidTr="752389DB" w14:paraId="6F798562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5A3D8751" w14:textId="77777777">
            <w:pPr>
              <w:rPr>
                <w:rFonts w:ascii="CircularXX Book" w:hAnsi="CircularXX Book" w:eastAsia="CircularXX Book" w:cs="CircularXX Book"/>
                <w:b/>
                <w:color w:val="1F3864" w:themeColor="accent5" w:themeShade="80"/>
                <w:sz w:val="20"/>
                <w:szCs w:val="20"/>
                <w:lang w:val="de-CH" w:eastAsia="de-DE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78FD0090" w14:textId="2AD7304C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setzt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einen Rahmen psychologischer Sicherheit vom Anfang bis zum Ende des Kurses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55BC3C3B" w14:textId="29A03C52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</w:p>
        </w:tc>
      </w:tr>
      <w:tr w:rsidRPr="008C749C" w:rsidR="3F30C329" w:rsidTr="752389DB" w14:paraId="04C64C15" w14:textId="77777777">
        <w:trPr>
          <w:trHeight w:val="300"/>
        </w:trPr>
        <w:tc>
          <w:tcPr>
            <w:tcW w:w="13995" w:type="dxa"/>
            <w:gridSpan w:val="3"/>
            <w:tcMar>
              <w:left w:w="108" w:type="dxa"/>
              <w:right w:w="108" w:type="dxa"/>
            </w:tcMar>
          </w:tcPr>
          <w:p w:rsidRPr="00907404" w:rsidR="3F30C329" w:rsidP="752389DB" w:rsidRDefault="3F30C329" w14:paraId="43B5F3EE" w14:textId="073B0341" w14:noSpellErr="1">
            <w:pPr>
              <w:rPr>
                <w:rFonts w:ascii="Arial Nova" w:hAnsi="Arial Nova" w:eastAsia="Arial Nova" w:cs="Arial Nova"/>
                <w:b w:val="1"/>
                <w:bCs w:val="1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41CACA55" w14:textId="77777777">
        <w:trPr>
          <w:trHeight w:val="300"/>
        </w:trPr>
        <w:tc>
          <w:tcPr>
            <w:tcW w:w="1884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Pr="008C3AA7" w:rsidR="3F30C329" w:rsidP="752389DB" w:rsidRDefault="3F30C329" w14:paraId="4E15891F" w14:textId="671E7A5F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color w:val="1F3864" w:themeColor="accent5" w:themeShade="80"/>
                <w:sz w:val="22"/>
                <w:szCs w:val="22"/>
                <w:lang w:eastAsia="de-DE"/>
              </w:rPr>
            </w:pP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Didaktische</w:t>
            </w: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und </w:t>
            </w: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methodische</w:t>
            </w: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</w:t>
            </w:r>
            <w:r w:rsidRPr="752389DB" w:rsidR="3F30C329">
              <w:rPr>
                <w:rFonts w:ascii="Arial Nova" w:hAnsi="Arial Nova" w:eastAsia="Arial Nova" w:cs="Arial Nova"/>
                <w:b w:val="1"/>
                <w:bCs w:val="1"/>
                <w:color w:val="1F3864" w:themeColor="accent5" w:themeTint="FF" w:themeShade="80"/>
                <w:sz w:val="22"/>
                <w:szCs w:val="22"/>
                <w:lang w:eastAsia="de-DE"/>
              </w:rPr>
              <w:t>Kompetenzen</w:t>
            </w: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5CC9738B" w14:textId="5D30E884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formuliert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klare und messbare Lernziele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59574443" w14:textId="24AA4762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7BAF097D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0E8AC0B6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3764875A" w14:textId="30AA739A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plant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Aktivitäten unter Berücksichtigung des Gelernten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05A6557B" w14:textId="1C1C5120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31A7E518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774B424F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5D950FE0" w14:textId="33D6A8AA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plant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die Aktivitäten auf der Grundlage der angestrebten Kompetenzen und </w:t>
            </w:r>
            <w:r w:rsidRPr="752389DB" w:rsidR="00292726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der Zielsetzung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der Lernenden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745E692F" w14:textId="7A058DCD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2F109BCA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03A6190C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2243F028" w14:textId="3D9D15BB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formuliert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klare </w:t>
            </w:r>
            <w:r w:rsidRPr="752389DB" w:rsidR="00CD1E37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und leicht verständliche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Anweisungen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072C6BCF" w14:textId="28810197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009FA83D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036FEC63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12C4326C" w14:textId="39B78639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plant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Aktivitäten, die in Tempo und Dauer den Ressourcen der Lernenden entsprechen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374F95F6" w14:textId="0B572714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028F765A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4888FABD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6CB4A15D" w14:textId="15B3D08A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bewertet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das Erreichte auf der Grundlage von Zielen, die für die Lernenden </w:t>
            </w:r>
            <w:r w:rsidRPr="752389DB" w:rsidR="00CD1E37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erreichbar </w:t>
            </w:r>
            <w:r w:rsidRPr="752389DB" w:rsidR="00CD1E37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sind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31D4DAD0" w14:textId="3E0FBB91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6E7721D8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07597F86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093A4EBA" w14:textId="6B8C1BF2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praktiziert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eine kontinuierliche formative Bewertung 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5EC0E223" w14:textId="746122AD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="3F30C329" w:rsidTr="752389DB" w14:paraId="414AB05B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7A8A6245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B1126C" w:rsidR="3F30C329" w:rsidP="752389DB" w:rsidRDefault="002A1A05" w14:paraId="5DC9381F" w14:textId="4F0859C9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>setzt</w:t>
            </w: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die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>Individualisierung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</w:t>
            </w:r>
            <w:r w:rsidRPr="752389DB" w:rsidR="2F92072B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>um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="3F30C329" w:rsidP="752389DB" w:rsidRDefault="3F30C329" w14:paraId="7AD2C4A6" w14:textId="6E48BC97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="3F30C329" w:rsidTr="752389DB" w14:paraId="0F421C41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="00635680" w:rsidRDefault="00635680" w14:paraId="18866A68" w14:textId="77777777"/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B1126C" w:rsidR="3F30C329" w:rsidP="752389DB" w:rsidRDefault="002A1A05" w14:paraId="7E182C0D" w14:textId="7BEA9F6A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>setzt</w:t>
            </w: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>Differenzierung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 xml:space="preserve"> </w:t>
            </w:r>
            <w:r w:rsidRPr="752389DB" w:rsidR="4E08171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eastAsia="de-DE"/>
              </w:rPr>
              <w:t>um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="3F30C329" w:rsidP="752389DB" w:rsidRDefault="3F30C329" w14:paraId="48063D8C" w14:textId="6CDAFF6B" w14:noSpellErr="1">
            <w:pPr>
              <w:rPr>
                <w:rFonts w:ascii="Arial Nova" w:hAnsi="Arial Nova" w:eastAsia="Arial Nova" w:cs="Arial Nova"/>
                <w:sz w:val="22"/>
                <w:szCs w:val="22"/>
              </w:rPr>
            </w:pPr>
          </w:p>
        </w:tc>
      </w:tr>
      <w:tr w:rsidRPr="008C749C" w:rsidR="3F30C329" w:rsidTr="752389DB" w14:paraId="7C12E464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="00635680" w:rsidRDefault="00635680" w14:paraId="4AEBFDCE" w14:textId="77777777"/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CD1E37" w14:paraId="00E01018" w14:textId="790CE193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CD1E37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fördert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die </w:t>
            </w:r>
            <w:r w:rsidRPr="752389DB" w:rsidR="00A80174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kontinuierliche </w:t>
            </w:r>
            <w:r w:rsidRPr="752389DB" w:rsidR="00CD1E37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Reflexion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der Lernenden </w:t>
            </w:r>
            <w:r w:rsidRPr="752389DB" w:rsidR="00CD1E37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über ihre Arbeit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5E46C5AC" w14:textId="6C31C03D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0FCDF7C1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4678A3A8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DD329B" w14:paraId="13E8481C" w14:textId="59335E8A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DD329B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verbindet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die erarbeiteten Inhalte </w:t>
            </w:r>
            <w:r w:rsidRPr="752389DB" w:rsidR="00A80174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mit der Alltagsrealität der Lernenden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7D92307D" w14:textId="5BD0C964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01DE8E3C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5545F32E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0F66820B" w14:textId="543C3D8B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stellt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Verbindungen zwischen den bearbeiteten Inhalten </w:t>
            </w: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her 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593517F3" w14:textId="66317232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05046017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4A952EAE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8C749C" w14:paraId="030BE50D" w14:textId="0FC2A1E1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8C749C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f</w:t>
            </w:r>
            <w:r w:rsidRPr="752389DB" w:rsidR="00DD329B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ormuliert </w:t>
            </w:r>
            <w:r w:rsidRPr="752389DB" w:rsidR="00A80174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wertschätzende, sachliche und spezifische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Rückmeldungen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6FFA669E" w14:textId="254D1319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7F7ED5F7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3909AEA9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803000" w:rsidR="3F30C329" w:rsidP="752389DB" w:rsidRDefault="008C749C" w14:paraId="2AD289CE" w14:textId="0D7BC36D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8C749C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p</w:t>
            </w: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roduziert</w:t>
            </w:r>
            <w:r w:rsidRPr="752389DB" w:rsidR="00D56EAA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 und verwendet</w:t>
            </w: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 </w:t>
            </w:r>
            <w:r w:rsidRPr="752389DB" w:rsidR="3F30C329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qualitativ hochwertiges Lehrmaterial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803000" w:rsidR="3F30C329" w:rsidP="752389DB" w:rsidRDefault="3F30C329" w14:paraId="32E913F4" w14:textId="33D64F4A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120FA5D1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8C749C" w:rsidR="00635680" w:rsidRDefault="00635680" w14:paraId="2E9C4A47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2A1A05" w14:paraId="5B45A026" w14:textId="56B35EE4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2A1A0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organisiert </w:t>
            </w:r>
            <w:r w:rsidRPr="752389DB" w:rsidR="00A80174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den Unterrichtsraum funktionell und den Bedürfnissen der Lernenden entsprechend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4DA27D28" w14:textId="47306CD5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  <w:tr w:rsidRPr="008C749C" w:rsidR="3F30C329" w:rsidTr="752389DB" w14:paraId="5F17E065" w14:textId="77777777">
        <w:trPr>
          <w:trHeight w:val="300"/>
        </w:trPr>
        <w:tc>
          <w:tcPr>
            <w:tcW w:w="1884" w:type="dxa"/>
            <w:vMerge/>
            <w:tcMar/>
            <w:vAlign w:val="center"/>
          </w:tcPr>
          <w:p w:rsidRPr="00907404" w:rsidR="00635680" w:rsidRDefault="00635680" w14:paraId="29FE14BC" w14:textId="77777777">
            <w:pPr>
              <w:rPr>
                <w:lang w:val="de-CH"/>
              </w:rPr>
            </w:pPr>
          </w:p>
        </w:tc>
        <w:tc>
          <w:tcPr>
            <w:tcW w:w="8477" w:type="dxa"/>
            <w:tcMar>
              <w:left w:w="108" w:type="dxa"/>
              <w:right w:w="108" w:type="dxa"/>
            </w:tcMar>
            <w:vAlign w:val="center"/>
          </w:tcPr>
          <w:p w:rsidRPr="00907404" w:rsidR="3F30C329" w:rsidP="752389DB" w:rsidRDefault="00A80174" w14:paraId="123582A8" w14:textId="7B5E588C" w14:noSpellErr="1">
            <w:pPr>
              <w:rPr>
                <w:rFonts w:ascii="Arial Nova" w:hAnsi="Arial Nova" w:eastAsia="Arial Nova" w:cs="Arial Nova"/>
                <w:color w:val="1F3864" w:themeColor="accent5" w:themeShade="80"/>
                <w:sz w:val="22"/>
                <w:szCs w:val="22"/>
                <w:lang w:val="de-CH" w:eastAsia="de-DE"/>
              </w:rPr>
            </w:pPr>
            <w:r w:rsidRPr="752389DB" w:rsidR="00A80174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setzt </w:t>
            </w:r>
            <w:r w:rsidRPr="752389DB" w:rsidR="00D853D5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>digitale</w:t>
            </w:r>
            <w:r w:rsidRPr="752389DB" w:rsidR="00A80174">
              <w:rPr>
                <w:rFonts w:ascii="Arial Nova" w:hAnsi="Arial Nova" w:eastAsia="Arial Nova" w:cs="Arial Nova"/>
                <w:color w:val="1F3864" w:themeColor="accent5" w:themeTint="FF" w:themeShade="80"/>
                <w:sz w:val="22"/>
                <w:szCs w:val="22"/>
                <w:lang w:val="de-CH" w:eastAsia="de-DE"/>
              </w:rPr>
              <w:t xml:space="preserve"> Lernressourcen gezielt ein </w:t>
            </w:r>
          </w:p>
        </w:tc>
        <w:tc>
          <w:tcPr>
            <w:tcW w:w="3634" w:type="dxa"/>
            <w:tcMar>
              <w:left w:w="108" w:type="dxa"/>
              <w:right w:w="108" w:type="dxa"/>
            </w:tcMar>
          </w:tcPr>
          <w:p w:rsidRPr="00907404" w:rsidR="3F30C329" w:rsidP="752389DB" w:rsidRDefault="3F30C329" w14:paraId="4B9BCD74" w14:textId="3FA9635B" w14:noSpellErr="1">
            <w:pPr>
              <w:rPr>
                <w:rFonts w:ascii="Arial Nova" w:hAnsi="Arial Nova" w:eastAsia="Arial Nova" w:cs="Arial Nova"/>
                <w:sz w:val="22"/>
                <w:szCs w:val="22"/>
                <w:lang w:val="de-CH"/>
              </w:rPr>
            </w:pPr>
          </w:p>
        </w:tc>
      </w:tr>
    </w:tbl>
    <w:p w:rsidRPr="00907404" w:rsidR="00EA6611" w:rsidP="752389DB" w:rsidRDefault="00EA6611" w14:paraId="29D6B04F" w14:textId="3E1C3525" w14:noSpellErr="1">
      <w:pPr>
        <w:pStyle w:val="NoSpacing"/>
        <w:jc w:val="center"/>
        <w:rPr>
          <w:rFonts w:ascii="Arial Nova" w:hAnsi="Arial Nova" w:eastAsia="Arial Nova" w:cs="Arial Nova"/>
          <w:b w:val="1"/>
          <w:bCs w:val="1"/>
          <w:color w:val="1F3864"/>
          <w:lang w:val="de-CH"/>
        </w:rPr>
      </w:pPr>
    </w:p>
    <w:sectPr w:rsidRPr="00907404" w:rsidR="00EA6611" w:rsidSect="006A7E1F">
      <w:headerReference w:type="default" r:id="rId10"/>
      <w:footerReference w:type="default" r:id="rId11"/>
      <w:pgSz w:w="16838" w:h="11906" w:orient="landscape"/>
      <w:pgMar w:top="1417" w:right="1417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5C0" w:rsidP="000E7049" w:rsidRDefault="002C35C0" w14:paraId="07256ABE" w14:textId="77777777">
      <w:pPr>
        <w:spacing w:after="0" w:line="240" w:lineRule="auto"/>
      </w:pPr>
      <w:r>
        <w:separator/>
      </w:r>
    </w:p>
  </w:endnote>
  <w:endnote w:type="continuationSeparator" w:id="0">
    <w:p w:rsidR="002C35C0" w:rsidP="000E7049" w:rsidRDefault="002C35C0" w14:paraId="68C1D4C6" w14:textId="77777777">
      <w:pPr>
        <w:spacing w:after="0" w:line="240" w:lineRule="auto"/>
      </w:pPr>
      <w:r>
        <w:continuationSeparator/>
      </w:r>
    </w:p>
  </w:endnote>
  <w:endnote w:type="continuationNotice" w:id="1">
    <w:p w:rsidR="002C35C0" w:rsidRDefault="002C35C0" w14:paraId="550A374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XX TT Medium">
    <w:altName w:val="Calibri"/>
    <w:charset w:val="00"/>
    <w:family w:val="swiss"/>
    <w:pitch w:val="variable"/>
    <w:sig w:usb0="A00000BF" w:usb1="5000E47B" w:usb2="00000008" w:usb3="00000000" w:csb0="00000093" w:csb1="00000000"/>
  </w:font>
  <w:font w:name="CircularXX Book">
    <w:altName w:val="Calibri"/>
    <w:charset w:val="00"/>
    <w:family w:val="swiss"/>
    <w:notTrueType/>
    <w:pitch w:val="variable"/>
    <w:sig w:usb0="A00000BF" w:usb1="5000E47B" w:usb2="00000008" w:usb3="00000000" w:csb0="00000093" w:csb1="00000000"/>
  </w:font>
  <w:font w:name="CircularXX Medium">
    <w:charset w:val="00"/>
    <w:family w:val="swiss"/>
    <w:notTrueType/>
    <w:pitch w:val="variable"/>
    <w:sig w:usb0="A00000B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93A71" w:rsidR="006B1667" w:rsidP="00B75C63" w:rsidRDefault="00900A87" w14:paraId="7AE7BF82" w14:textId="3FAFAF8D">
    <w:pPr>
      <w:tabs>
        <w:tab w:val="left" w:pos="6237"/>
        <w:tab w:val="left" w:pos="13041"/>
      </w:tabs>
      <w:rPr>
        <w:rFonts w:ascii="CircularXX Medium" w:hAnsi="CircularXX Medium" w:cs="CircularXX Medium"/>
        <w:color w:val="284780"/>
        <w:sz w:val="16"/>
        <w:szCs w:val="16"/>
      </w:rPr>
    </w:pPr>
    <w:proofErr w:type="spellStart"/>
    <w:r w:rsidRPr="00900A87">
      <w:rPr>
        <w:rFonts w:ascii="CircularXX Medium" w:hAnsi="CircularXX Medium" w:cs="CircularXX Medium"/>
        <w:color w:val="284780"/>
        <w:sz w:val="16"/>
        <w:szCs w:val="16"/>
      </w:rPr>
      <w:t>Fachstelle</w:t>
    </w:r>
    <w:proofErr w:type="spellEnd"/>
    <w:r w:rsidRPr="00900A87">
      <w:rPr>
        <w:rFonts w:ascii="CircularXX Medium" w:hAnsi="CircularXX Medium" w:cs="CircularXX Medium"/>
        <w:color w:val="284780"/>
        <w:sz w:val="16"/>
        <w:szCs w:val="16"/>
      </w:rPr>
      <w:t xml:space="preserve"> </w:t>
    </w:r>
    <w:proofErr w:type="spellStart"/>
    <w:r w:rsidRPr="00900A87">
      <w:rPr>
        <w:rFonts w:ascii="CircularXX Medium" w:hAnsi="CircularXX Medium" w:cs="CircularXX Medium"/>
        <w:color w:val="284780"/>
        <w:sz w:val="16"/>
        <w:szCs w:val="16"/>
      </w:rPr>
      <w:t>Didaktik</w:t>
    </w:r>
    <w:proofErr w:type="spellEnd"/>
    <w:r w:rsidRPr="00900A87">
      <w:rPr>
        <w:rFonts w:ascii="CircularXX Medium" w:hAnsi="CircularXX Medium" w:cs="CircularXX Medium"/>
        <w:color w:val="284780"/>
        <w:sz w:val="16"/>
        <w:szCs w:val="16"/>
      </w:rPr>
      <w:t xml:space="preserve"> und </w:t>
    </w:r>
    <w:proofErr w:type="spellStart"/>
    <w:r w:rsidRPr="00900A87">
      <w:rPr>
        <w:rFonts w:ascii="CircularXX Medium" w:hAnsi="CircularXX Medium" w:cs="CircularXX Medium"/>
        <w:color w:val="284780"/>
        <w:sz w:val="16"/>
        <w:szCs w:val="16"/>
      </w:rPr>
      <w:t>Digitalisierung</w:t>
    </w:r>
    <w:proofErr w:type="spellEnd"/>
    <w:r w:rsidRPr="00900A87">
      <w:rPr>
        <w:rFonts w:ascii="CircularXX Medium" w:hAnsi="CircularXX Medium" w:cs="CircularXX Medium"/>
        <w:color w:val="284780"/>
        <w:sz w:val="16"/>
        <w:szCs w:val="16"/>
      </w:rPr>
      <w:t xml:space="preserve"> </w:t>
    </w:r>
    <w:r w:rsidR="00C92992">
      <w:rPr>
        <w:rFonts w:ascii="CircularXX Medium" w:hAnsi="CircularXX Medium" w:cs="CircularXX Medium"/>
        <w:color w:val="284780"/>
        <w:sz w:val="16"/>
        <w:szCs w:val="16"/>
      </w:rPr>
      <w:t xml:space="preserve">/ </w:t>
    </w:r>
    <w:r w:rsidRPr="00193A71" w:rsidR="00422E6E">
      <w:rPr>
        <w:rFonts w:ascii="CircularXX Medium" w:hAnsi="CircularXX Medium" w:cs="CircularXX Medium"/>
        <w:color w:val="284780"/>
        <w:sz w:val="16"/>
        <w:szCs w:val="16"/>
      </w:rPr>
      <w:t>V1</w:t>
    </w:r>
    <w:r w:rsidRPr="00193A71" w:rsidR="00CD4F6A">
      <w:rPr>
        <w:rFonts w:ascii="CircularXX Medium" w:hAnsi="CircularXX Medium" w:cs="CircularXX Medium"/>
        <w:color w:val="284780"/>
        <w:sz w:val="16"/>
        <w:szCs w:val="16"/>
      </w:rPr>
      <w:tab/>
    </w:r>
    <w:r w:rsidRPr="00193A71" w:rsidR="00CD4F6A">
      <w:rPr>
        <w:rFonts w:ascii="CircularXX Medium" w:hAnsi="CircularXX Medium" w:cs="CircularXX Medium"/>
        <w:color w:val="284780"/>
        <w:sz w:val="16"/>
        <w:szCs w:val="16"/>
      </w:rPr>
      <w:t>11.02.2025</w:t>
    </w:r>
    <w:r w:rsidRPr="00193A71" w:rsidR="00CD4F6A">
      <w:rPr>
        <w:rFonts w:ascii="CircularXX Medium" w:hAnsi="CircularXX Medium" w:cs="CircularXX Medium"/>
        <w:color w:val="284780"/>
        <w:sz w:val="16"/>
        <w:szCs w:val="16"/>
      </w:rPr>
      <w:tab/>
    </w:r>
    <w:r w:rsidRPr="005406D4" w:rsidR="00DA34F9">
      <w:rPr>
        <w:rFonts w:ascii="CircularXX Medium" w:hAnsi="CircularXX Medium" w:cs="CircularXX Medium"/>
        <w:color w:val="284780"/>
        <w:sz w:val="16"/>
        <w:szCs w:val="16"/>
        <w:lang w:val="de-CH"/>
      </w:rPr>
      <w:fldChar w:fldCharType="begin"/>
    </w:r>
    <w:r w:rsidRPr="00193A71" w:rsidR="00DA34F9">
      <w:rPr>
        <w:rFonts w:ascii="CircularXX Medium" w:hAnsi="CircularXX Medium" w:cs="CircularXX Medium"/>
        <w:color w:val="284780"/>
        <w:sz w:val="16"/>
        <w:szCs w:val="16"/>
      </w:rPr>
      <w:instrText>PAGE   \* MERGEFORMAT</w:instrText>
    </w:r>
    <w:r w:rsidRPr="005406D4" w:rsidR="00DA34F9">
      <w:rPr>
        <w:rFonts w:ascii="CircularXX Medium" w:hAnsi="CircularXX Medium" w:cs="CircularXX Medium"/>
        <w:color w:val="284780"/>
        <w:sz w:val="16"/>
        <w:szCs w:val="16"/>
        <w:lang w:val="de-CH"/>
      </w:rPr>
      <w:fldChar w:fldCharType="separate"/>
    </w:r>
    <w:r w:rsidRPr="00193A71" w:rsidR="00DA34F9">
      <w:rPr>
        <w:rFonts w:ascii="CircularXX Medium" w:hAnsi="CircularXX Medium" w:cs="CircularXX Medium"/>
        <w:color w:val="284780"/>
        <w:sz w:val="16"/>
        <w:szCs w:val="16"/>
      </w:rPr>
      <w:t>1</w:t>
    </w:r>
    <w:r w:rsidRPr="005406D4" w:rsidR="00DA34F9">
      <w:rPr>
        <w:rFonts w:ascii="CircularXX Medium" w:hAnsi="CircularXX Medium" w:cs="CircularXX Medium"/>
        <w:color w:val="284780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5C0" w:rsidP="000E7049" w:rsidRDefault="002C35C0" w14:paraId="40228AD8" w14:textId="77777777">
      <w:pPr>
        <w:spacing w:after="0" w:line="240" w:lineRule="auto"/>
      </w:pPr>
      <w:r>
        <w:separator/>
      </w:r>
    </w:p>
  </w:footnote>
  <w:footnote w:type="continuationSeparator" w:id="0">
    <w:p w:rsidR="002C35C0" w:rsidP="000E7049" w:rsidRDefault="002C35C0" w14:paraId="00B40770" w14:textId="77777777">
      <w:pPr>
        <w:spacing w:after="0" w:line="240" w:lineRule="auto"/>
      </w:pPr>
      <w:r>
        <w:continuationSeparator/>
      </w:r>
    </w:p>
  </w:footnote>
  <w:footnote w:type="continuationNotice" w:id="1">
    <w:p w:rsidR="002C35C0" w:rsidRDefault="002C35C0" w14:paraId="03C712A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7049" w:rsidP="000E7049" w:rsidRDefault="007573A7" w14:paraId="72A3D3EC" w14:textId="355A9358">
    <w:pPr>
      <w:pStyle w:val="NoSpacing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F05F40" wp14:editId="748EBC56">
          <wp:simplePos x="0" y="0"/>
          <wp:positionH relativeFrom="margin">
            <wp:posOffset>4185313</wp:posOffset>
          </wp:positionH>
          <wp:positionV relativeFrom="paragraph">
            <wp:posOffset>222392</wp:posOffset>
          </wp:positionV>
          <wp:extent cx="5140325" cy="728980"/>
          <wp:effectExtent l="0" t="0" r="3175" b="0"/>
          <wp:wrapTight wrapText="bothSides">
            <wp:wrapPolygon edited="0">
              <wp:start x="0" y="0"/>
              <wp:lineTo x="0" y="20885"/>
              <wp:lineTo x="21533" y="20885"/>
              <wp:lineTo x="21533" y="0"/>
              <wp:lineTo x="0" y="0"/>
            </wp:wrapPolygon>
          </wp:wrapTight>
          <wp:docPr id="1679525401" name="Grafik 1" descr="Ein Bild, das Grafiken, Logo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00811" name="Grafik 403300811" descr="Ein Bild, das Grafiken, Logo, Symbol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03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7049" w:rsidRDefault="008A1C8F" w14:paraId="0D0B940D" w14:textId="0984E048">
    <w:pPr>
      <w:pStyle w:val="Header"/>
    </w:pPr>
    <w:r>
      <w:rPr>
        <w:noProof/>
        <w:lang w:eastAsia="fr-CH"/>
      </w:rPr>
      <w:drawing>
        <wp:inline distT="0" distB="0" distL="0" distR="0" wp14:anchorId="4CF9952B" wp14:editId="19B9837B">
          <wp:extent cx="2832100" cy="736346"/>
          <wp:effectExtent l="0" t="0" r="6350" b="6985"/>
          <wp:docPr id="824844940" name="Image 6" descr="Ein Bild, das Text, Schrift, Screensho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44940" name="Image 6" descr="Ein Bild, das Text, Schrift, Screenshot, Reihe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871" cy="762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5762" w:rsidRDefault="007F5762" w14:paraId="5EC581B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fNTmCQ5G0aarO" int2:id="1uY7ZyU4">
      <int2:state int2:value="Rejected" int2:type="AugLoop_Text_Critique"/>
    </int2:textHash>
    <int2:textHash int2:hashCode="7SGrXF34LAKkga" int2:id="8AVxJv0H">
      <int2:state int2:value="Rejected" int2:type="AugLoop_Text_Critique"/>
    </int2:textHash>
    <int2:textHash int2:hashCode="CEeMyAPKW+LrLs" int2:id="PgDIS9UB">
      <int2:state int2:value="Rejected" int2:type="AugLoop_Text_Critique"/>
    </int2:textHash>
    <int2:textHash int2:hashCode="ZwuVVFZHQSccmW" int2:id="ZfMRoY88">
      <int2:state int2:value="Rejected" int2:type="AugLoop_Text_Critique"/>
    </int2:textHash>
    <int2:textHash int2:hashCode="29XlnA4ZnD3sG6" int2:id="awJUz02Z">
      <int2:state int2:value="Rejected" int2:type="AugLoop_Text_Critique"/>
    </int2:textHash>
    <int2:textHash int2:hashCode="e2airw6eNyk0KS" int2:id="hH1mZl84">
      <int2:state int2:value="Rejected" int2:type="AugLoop_Text_Critique"/>
    </int2:textHash>
    <int2:textHash int2:hashCode="L8QWXrMITvBC4p" int2:id="odK52Nxp">
      <int2:state int2:value="Rejected" int2:type="AugLoop_Text_Critique"/>
    </int2:textHash>
    <int2:textHash int2:hashCode="j24bvLHL04QgP9" int2:id="ogoJ5lbl">
      <int2:state int2:value="Rejected" int2:type="AugLoop_Text_Critique"/>
    </int2:textHash>
    <int2:textHash int2:hashCode="PFt0bsi2X3din5" int2:id="vIId5omg">
      <int2:state int2:value="Rejected" int2:type="AugLoop_Text_Critique"/>
    </int2:textHash>
    <int2:textHash int2:hashCode="b3+vLld8F73qqj" int2:id="z5ttwyQ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600C"/>
    <w:multiLevelType w:val="multilevel"/>
    <w:tmpl w:val="CB0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FA5819"/>
    <w:multiLevelType w:val="hybridMultilevel"/>
    <w:tmpl w:val="087AA06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219"/>
    <w:multiLevelType w:val="hybridMultilevel"/>
    <w:tmpl w:val="5B5685FC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B3319D"/>
    <w:multiLevelType w:val="multilevel"/>
    <w:tmpl w:val="35D8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2B11D86"/>
    <w:multiLevelType w:val="multilevel"/>
    <w:tmpl w:val="B4D83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36019"/>
    <w:multiLevelType w:val="multilevel"/>
    <w:tmpl w:val="ED8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D7E004E"/>
    <w:multiLevelType w:val="hybridMultilevel"/>
    <w:tmpl w:val="80360FC2"/>
    <w:lvl w:ilvl="0" w:tplc="F5C653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0DE7A7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DDA8F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D43C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DA1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987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8401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DA5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84A9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C646E5"/>
    <w:multiLevelType w:val="hybridMultilevel"/>
    <w:tmpl w:val="F7D89DA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652D2"/>
    <w:multiLevelType w:val="multilevel"/>
    <w:tmpl w:val="1A62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8902167"/>
    <w:multiLevelType w:val="multilevel"/>
    <w:tmpl w:val="54A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BB376E8"/>
    <w:multiLevelType w:val="multilevel"/>
    <w:tmpl w:val="D306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1A5405"/>
    <w:multiLevelType w:val="multilevel"/>
    <w:tmpl w:val="031C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FB2201C"/>
    <w:multiLevelType w:val="hybridMultilevel"/>
    <w:tmpl w:val="39780EBE"/>
    <w:lvl w:ilvl="0" w:tplc="100C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52B350E7"/>
    <w:multiLevelType w:val="multilevel"/>
    <w:tmpl w:val="D098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DF83A29"/>
    <w:multiLevelType w:val="multilevel"/>
    <w:tmpl w:val="D696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BB20E1"/>
    <w:multiLevelType w:val="multilevel"/>
    <w:tmpl w:val="4078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7BA28CA"/>
    <w:multiLevelType w:val="hybridMultilevel"/>
    <w:tmpl w:val="1A0C7C4C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0B81"/>
    <w:multiLevelType w:val="multilevel"/>
    <w:tmpl w:val="145E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89254E"/>
    <w:multiLevelType w:val="multilevel"/>
    <w:tmpl w:val="D664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DD31134"/>
    <w:multiLevelType w:val="multilevel"/>
    <w:tmpl w:val="3D30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1836CD8"/>
    <w:multiLevelType w:val="multilevel"/>
    <w:tmpl w:val="EB1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4A810D8"/>
    <w:multiLevelType w:val="hybridMultilevel"/>
    <w:tmpl w:val="5964A7F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527D65"/>
    <w:multiLevelType w:val="multilevel"/>
    <w:tmpl w:val="AFA6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41209">
    <w:abstractNumId w:val="6"/>
  </w:num>
  <w:num w:numId="2" w16cid:durableId="1410497708">
    <w:abstractNumId w:val="12"/>
  </w:num>
  <w:num w:numId="3" w16cid:durableId="1265765002">
    <w:abstractNumId w:val="17"/>
  </w:num>
  <w:num w:numId="4" w16cid:durableId="1025254276">
    <w:abstractNumId w:val="5"/>
  </w:num>
  <w:num w:numId="5" w16cid:durableId="1312177525">
    <w:abstractNumId w:val="4"/>
  </w:num>
  <w:num w:numId="6" w16cid:durableId="1989237352">
    <w:abstractNumId w:val="10"/>
  </w:num>
  <w:num w:numId="7" w16cid:durableId="1166481942">
    <w:abstractNumId w:val="18"/>
  </w:num>
  <w:num w:numId="8" w16cid:durableId="2115708230">
    <w:abstractNumId w:val="0"/>
  </w:num>
  <w:num w:numId="9" w16cid:durableId="511339325">
    <w:abstractNumId w:val="3"/>
  </w:num>
  <w:num w:numId="10" w16cid:durableId="1027371907">
    <w:abstractNumId w:val="15"/>
  </w:num>
  <w:num w:numId="11" w16cid:durableId="1444761399">
    <w:abstractNumId w:val="13"/>
  </w:num>
  <w:num w:numId="12" w16cid:durableId="1564559348">
    <w:abstractNumId w:val="22"/>
  </w:num>
  <w:num w:numId="13" w16cid:durableId="938442374">
    <w:abstractNumId w:val="14"/>
  </w:num>
  <w:num w:numId="14" w16cid:durableId="1182935744">
    <w:abstractNumId w:val="1"/>
  </w:num>
  <w:num w:numId="15" w16cid:durableId="2117092556">
    <w:abstractNumId w:val="21"/>
  </w:num>
  <w:num w:numId="16" w16cid:durableId="988098061">
    <w:abstractNumId w:val="8"/>
  </w:num>
  <w:num w:numId="17" w16cid:durableId="333728102">
    <w:abstractNumId w:val="20"/>
  </w:num>
  <w:num w:numId="18" w16cid:durableId="1642539581">
    <w:abstractNumId w:val="16"/>
  </w:num>
  <w:num w:numId="19" w16cid:durableId="967246751">
    <w:abstractNumId w:val="7"/>
  </w:num>
  <w:num w:numId="20" w16cid:durableId="465851810">
    <w:abstractNumId w:val="2"/>
  </w:num>
  <w:num w:numId="21" w16cid:durableId="239219852">
    <w:abstractNumId w:val="9"/>
  </w:num>
  <w:num w:numId="22" w16cid:durableId="1679238165">
    <w:abstractNumId w:val="11"/>
  </w:num>
  <w:num w:numId="23" w16cid:durableId="1904749705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49"/>
    <w:rsid w:val="00010647"/>
    <w:rsid w:val="00011398"/>
    <w:rsid w:val="00013EA5"/>
    <w:rsid w:val="000437F3"/>
    <w:rsid w:val="00044D63"/>
    <w:rsid w:val="00080A69"/>
    <w:rsid w:val="000A4C85"/>
    <w:rsid w:val="000A4FDC"/>
    <w:rsid w:val="000B0BD6"/>
    <w:rsid w:val="000E01C7"/>
    <w:rsid w:val="000E7049"/>
    <w:rsid w:val="000E7B68"/>
    <w:rsid w:val="00102DEC"/>
    <w:rsid w:val="00141686"/>
    <w:rsid w:val="0015508C"/>
    <w:rsid w:val="0017536C"/>
    <w:rsid w:val="00193A71"/>
    <w:rsid w:val="00195BEA"/>
    <w:rsid w:val="001A68AA"/>
    <w:rsid w:val="001B6D8A"/>
    <w:rsid w:val="001C060F"/>
    <w:rsid w:val="001C2C0B"/>
    <w:rsid w:val="001D6874"/>
    <w:rsid w:val="001F1178"/>
    <w:rsid w:val="001F5F4F"/>
    <w:rsid w:val="00210D37"/>
    <w:rsid w:val="00212CAE"/>
    <w:rsid w:val="00217C86"/>
    <w:rsid w:val="00225613"/>
    <w:rsid w:val="002269FE"/>
    <w:rsid w:val="002536E5"/>
    <w:rsid w:val="00292726"/>
    <w:rsid w:val="00295E57"/>
    <w:rsid w:val="002A1A05"/>
    <w:rsid w:val="002A6B56"/>
    <w:rsid w:val="002B04D1"/>
    <w:rsid w:val="002C35C0"/>
    <w:rsid w:val="002D5E60"/>
    <w:rsid w:val="002F41AE"/>
    <w:rsid w:val="00314DA3"/>
    <w:rsid w:val="00321252"/>
    <w:rsid w:val="003277F5"/>
    <w:rsid w:val="00331B6C"/>
    <w:rsid w:val="00343869"/>
    <w:rsid w:val="00354E05"/>
    <w:rsid w:val="00360E40"/>
    <w:rsid w:val="00377C89"/>
    <w:rsid w:val="00387AF2"/>
    <w:rsid w:val="003B1BB3"/>
    <w:rsid w:val="003B4302"/>
    <w:rsid w:val="003C1E8D"/>
    <w:rsid w:val="003E12B6"/>
    <w:rsid w:val="003E2A22"/>
    <w:rsid w:val="003F0D45"/>
    <w:rsid w:val="003F3045"/>
    <w:rsid w:val="003F7A76"/>
    <w:rsid w:val="00410333"/>
    <w:rsid w:val="004109F0"/>
    <w:rsid w:val="0041462D"/>
    <w:rsid w:val="00422E6E"/>
    <w:rsid w:val="004323B5"/>
    <w:rsid w:val="004375C4"/>
    <w:rsid w:val="004409F2"/>
    <w:rsid w:val="004417F3"/>
    <w:rsid w:val="00450696"/>
    <w:rsid w:val="00452B34"/>
    <w:rsid w:val="00482A5E"/>
    <w:rsid w:val="004920DC"/>
    <w:rsid w:val="004930B0"/>
    <w:rsid w:val="00493181"/>
    <w:rsid w:val="004B4DAA"/>
    <w:rsid w:val="004C7F37"/>
    <w:rsid w:val="004D1C9B"/>
    <w:rsid w:val="005117B6"/>
    <w:rsid w:val="00520024"/>
    <w:rsid w:val="0052758B"/>
    <w:rsid w:val="005406D4"/>
    <w:rsid w:val="00567932"/>
    <w:rsid w:val="00571CFA"/>
    <w:rsid w:val="00572959"/>
    <w:rsid w:val="00577F10"/>
    <w:rsid w:val="005A47B5"/>
    <w:rsid w:val="005A7478"/>
    <w:rsid w:val="00602D5C"/>
    <w:rsid w:val="00602EDB"/>
    <w:rsid w:val="00605669"/>
    <w:rsid w:val="00607900"/>
    <w:rsid w:val="00610480"/>
    <w:rsid w:val="0061318E"/>
    <w:rsid w:val="006144DC"/>
    <w:rsid w:val="00614C1D"/>
    <w:rsid w:val="00616591"/>
    <w:rsid w:val="006206C0"/>
    <w:rsid w:val="00635680"/>
    <w:rsid w:val="00645C74"/>
    <w:rsid w:val="0065060E"/>
    <w:rsid w:val="00653515"/>
    <w:rsid w:val="00684866"/>
    <w:rsid w:val="0069283E"/>
    <w:rsid w:val="006A7E1F"/>
    <w:rsid w:val="006B1667"/>
    <w:rsid w:val="006B2C89"/>
    <w:rsid w:val="006C23ED"/>
    <w:rsid w:val="006D72AC"/>
    <w:rsid w:val="006E1046"/>
    <w:rsid w:val="006F31CA"/>
    <w:rsid w:val="00707129"/>
    <w:rsid w:val="00730CA6"/>
    <w:rsid w:val="007339B8"/>
    <w:rsid w:val="00734AC0"/>
    <w:rsid w:val="00736683"/>
    <w:rsid w:val="00745F4D"/>
    <w:rsid w:val="007573A7"/>
    <w:rsid w:val="00773600"/>
    <w:rsid w:val="00786DF0"/>
    <w:rsid w:val="007A0ED1"/>
    <w:rsid w:val="007A25FE"/>
    <w:rsid w:val="007A7444"/>
    <w:rsid w:val="007D3428"/>
    <w:rsid w:val="007F5762"/>
    <w:rsid w:val="00803000"/>
    <w:rsid w:val="00807268"/>
    <w:rsid w:val="008075F4"/>
    <w:rsid w:val="00813A3D"/>
    <w:rsid w:val="008329B0"/>
    <w:rsid w:val="00841EA6"/>
    <w:rsid w:val="00851E11"/>
    <w:rsid w:val="00862425"/>
    <w:rsid w:val="00873E45"/>
    <w:rsid w:val="008870EC"/>
    <w:rsid w:val="00892336"/>
    <w:rsid w:val="0089262B"/>
    <w:rsid w:val="008A1C8F"/>
    <w:rsid w:val="008A53F2"/>
    <w:rsid w:val="008B5558"/>
    <w:rsid w:val="008C1C81"/>
    <w:rsid w:val="008C3AA7"/>
    <w:rsid w:val="008C749C"/>
    <w:rsid w:val="008D530E"/>
    <w:rsid w:val="00900A87"/>
    <w:rsid w:val="00901A83"/>
    <w:rsid w:val="00904249"/>
    <w:rsid w:val="00904B60"/>
    <w:rsid w:val="00905545"/>
    <w:rsid w:val="00907404"/>
    <w:rsid w:val="0091560F"/>
    <w:rsid w:val="00916A56"/>
    <w:rsid w:val="00917325"/>
    <w:rsid w:val="00931AD6"/>
    <w:rsid w:val="009354A2"/>
    <w:rsid w:val="00966552"/>
    <w:rsid w:val="009824E6"/>
    <w:rsid w:val="00991CD9"/>
    <w:rsid w:val="00996ED8"/>
    <w:rsid w:val="009A4EFA"/>
    <w:rsid w:val="009A7B53"/>
    <w:rsid w:val="009C36DC"/>
    <w:rsid w:val="009D3B53"/>
    <w:rsid w:val="00A2218E"/>
    <w:rsid w:val="00A23151"/>
    <w:rsid w:val="00A23441"/>
    <w:rsid w:val="00A23AAE"/>
    <w:rsid w:val="00A24FF6"/>
    <w:rsid w:val="00A33BE1"/>
    <w:rsid w:val="00A415E8"/>
    <w:rsid w:val="00A61037"/>
    <w:rsid w:val="00A80174"/>
    <w:rsid w:val="00A90B9D"/>
    <w:rsid w:val="00AB4B18"/>
    <w:rsid w:val="00AF2685"/>
    <w:rsid w:val="00B1126C"/>
    <w:rsid w:val="00B17D3D"/>
    <w:rsid w:val="00B25983"/>
    <w:rsid w:val="00B30AE9"/>
    <w:rsid w:val="00B43435"/>
    <w:rsid w:val="00B53371"/>
    <w:rsid w:val="00B75C63"/>
    <w:rsid w:val="00B76866"/>
    <w:rsid w:val="00B81BA9"/>
    <w:rsid w:val="00BA02D2"/>
    <w:rsid w:val="00BA1CD4"/>
    <w:rsid w:val="00BA26B3"/>
    <w:rsid w:val="00BD15DB"/>
    <w:rsid w:val="00BD16D9"/>
    <w:rsid w:val="00BE5ECB"/>
    <w:rsid w:val="00BF30DF"/>
    <w:rsid w:val="00C0442F"/>
    <w:rsid w:val="00C06A4C"/>
    <w:rsid w:val="00C14FF8"/>
    <w:rsid w:val="00C15A34"/>
    <w:rsid w:val="00C379DE"/>
    <w:rsid w:val="00C516D0"/>
    <w:rsid w:val="00C60AA3"/>
    <w:rsid w:val="00C63ACD"/>
    <w:rsid w:val="00C771E7"/>
    <w:rsid w:val="00C803E9"/>
    <w:rsid w:val="00C87B5F"/>
    <w:rsid w:val="00C917CB"/>
    <w:rsid w:val="00C92992"/>
    <w:rsid w:val="00CA02AF"/>
    <w:rsid w:val="00CA1FB0"/>
    <w:rsid w:val="00CC72C6"/>
    <w:rsid w:val="00CD1E37"/>
    <w:rsid w:val="00CD3F49"/>
    <w:rsid w:val="00CD4F6A"/>
    <w:rsid w:val="00CE14FF"/>
    <w:rsid w:val="00CE2CDC"/>
    <w:rsid w:val="00CF42A5"/>
    <w:rsid w:val="00CF7CC2"/>
    <w:rsid w:val="00D137A2"/>
    <w:rsid w:val="00D26EDF"/>
    <w:rsid w:val="00D35DE9"/>
    <w:rsid w:val="00D36798"/>
    <w:rsid w:val="00D56EAA"/>
    <w:rsid w:val="00D853D5"/>
    <w:rsid w:val="00D87D43"/>
    <w:rsid w:val="00DA1D74"/>
    <w:rsid w:val="00DA34F9"/>
    <w:rsid w:val="00DA6D35"/>
    <w:rsid w:val="00DA7EDE"/>
    <w:rsid w:val="00DC7FE4"/>
    <w:rsid w:val="00DD108A"/>
    <w:rsid w:val="00DD329B"/>
    <w:rsid w:val="00DD77EE"/>
    <w:rsid w:val="00DE5C2F"/>
    <w:rsid w:val="00DF67A0"/>
    <w:rsid w:val="00E03AEC"/>
    <w:rsid w:val="00E15922"/>
    <w:rsid w:val="00E16996"/>
    <w:rsid w:val="00E16E87"/>
    <w:rsid w:val="00E233BD"/>
    <w:rsid w:val="00E331CE"/>
    <w:rsid w:val="00E5480E"/>
    <w:rsid w:val="00E56A83"/>
    <w:rsid w:val="00E72F80"/>
    <w:rsid w:val="00E92D87"/>
    <w:rsid w:val="00EA4912"/>
    <w:rsid w:val="00EA6611"/>
    <w:rsid w:val="00EC0E07"/>
    <w:rsid w:val="00EC3409"/>
    <w:rsid w:val="00EC3A35"/>
    <w:rsid w:val="00EE653D"/>
    <w:rsid w:val="00F05652"/>
    <w:rsid w:val="00F415E1"/>
    <w:rsid w:val="00F4278A"/>
    <w:rsid w:val="00F64D97"/>
    <w:rsid w:val="00F64E1B"/>
    <w:rsid w:val="00F657E4"/>
    <w:rsid w:val="00F77702"/>
    <w:rsid w:val="00F77BF0"/>
    <w:rsid w:val="00F91E69"/>
    <w:rsid w:val="00F94D77"/>
    <w:rsid w:val="00F97997"/>
    <w:rsid w:val="00FA0CFD"/>
    <w:rsid w:val="00FA763C"/>
    <w:rsid w:val="00FB6FD1"/>
    <w:rsid w:val="00FC0F34"/>
    <w:rsid w:val="00FE1846"/>
    <w:rsid w:val="00FE3478"/>
    <w:rsid w:val="00FE6A94"/>
    <w:rsid w:val="00FE7604"/>
    <w:rsid w:val="02FF6521"/>
    <w:rsid w:val="067970C0"/>
    <w:rsid w:val="08B63CB8"/>
    <w:rsid w:val="0B1C9911"/>
    <w:rsid w:val="0C69629E"/>
    <w:rsid w:val="0D3BCAF4"/>
    <w:rsid w:val="0D842423"/>
    <w:rsid w:val="0DBAD3E3"/>
    <w:rsid w:val="0E0F7503"/>
    <w:rsid w:val="0F3E9D63"/>
    <w:rsid w:val="11E53DEA"/>
    <w:rsid w:val="15500EB5"/>
    <w:rsid w:val="16FD9BF7"/>
    <w:rsid w:val="18178DEF"/>
    <w:rsid w:val="1BC9A9C6"/>
    <w:rsid w:val="1D7FAEF8"/>
    <w:rsid w:val="1E061BB5"/>
    <w:rsid w:val="1E90837B"/>
    <w:rsid w:val="1F94F2F6"/>
    <w:rsid w:val="2238C9EF"/>
    <w:rsid w:val="22C46154"/>
    <w:rsid w:val="28AAB8DB"/>
    <w:rsid w:val="2AEFC18C"/>
    <w:rsid w:val="2B5026AB"/>
    <w:rsid w:val="2C0F4A32"/>
    <w:rsid w:val="2C80817A"/>
    <w:rsid w:val="2D9260BA"/>
    <w:rsid w:val="2F92072B"/>
    <w:rsid w:val="3362F647"/>
    <w:rsid w:val="34F6E5E7"/>
    <w:rsid w:val="3633A339"/>
    <w:rsid w:val="3655F585"/>
    <w:rsid w:val="3671A74C"/>
    <w:rsid w:val="3680EE79"/>
    <w:rsid w:val="374BDF72"/>
    <w:rsid w:val="38C2A4A4"/>
    <w:rsid w:val="38E87E6C"/>
    <w:rsid w:val="39C7D56B"/>
    <w:rsid w:val="39DA96B0"/>
    <w:rsid w:val="3A4AE71D"/>
    <w:rsid w:val="3A561168"/>
    <w:rsid w:val="3D219C70"/>
    <w:rsid w:val="3F30C329"/>
    <w:rsid w:val="3FE65909"/>
    <w:rsid w:val="4007FACE"/>
    <w:rsid w:val="42E19258"/>
    <w:rsid w:val="44F6CE64"/>
    <w:rsid w:val="460D1BEC"/>
    <w:rsid w:val="463BFACC"/>
    <w:rsid w:val="4946585C"/>
    <w:rsid w:val="4B2E288F"/>
    <w:rsid w:val="4BB7D5BF"/>
    <w:rsid w:val="4CBE09C8"/>
    <w:rsid w:val="4E081719"/>
    <w:rsid w:val="4EFF943E"/>
    <w:rsid w:val="4FF490E1"/>
    <w:rsid w:val="50ED1BAE"/>
    <w:rsid w:val="510F1532"/>
    <w:rsid w:val="510F544E"/>
    <w:rsid w:val="51BD03C8"/>
    <w:rsid w:val="539B59F9"/>
    <w:rsid w:val="54E23516"/>
    <w:rsid w:val="5654271C"/>
    <w:rsid w:val="567DB232"/>
    <w:rsid w:val="57E1D568"/>
    <w:rsid w:val="59DA985C"/>
    <w:rsid w:val="5B53898A"/>
    <w:rsid w:val="5BF28CA8"/>
    <w:rsid w:val="5DB01690"/>
    <w:rsid w:val="6154A5AC"/>
    <w:rsid w:val="632FAACE"/>
    <w:rsid w:val="64BBAC25"/>
    <w:rsid w:val="64D6D409"/>
    <w:rsid w:val="65801653"/>
    <w:rsid w:val="66A569D4"/>
    <w:rsid w:val="66EE749A"/>
    <w:rsid w:val="6AB8F6F2"/>
    <w:rsid w:val="6B7CFC1F"/>
    <w:rsid w:val="6C35C827"/>
    <w:rsid w:val="6E120AEF"/>
    <w:rsid w:val="6E219E94"/>
    <w:rsid w:val="701AE4E3"/>
    <w:rsid w:val="72C85B96"/>
    <w:rsid w:val="73455888"/>
    <w:rsid w:val="740CC433"/>
    <w:rsid w:val="752389DB"/>
    <w:rsid w:val="75AF91DE"/>
    <w:rsid w:val="79035F5F"/>
    <w:rsid w:val="7A6331C9"/>
    <w:rsid w:val="7CF4DFA6"/>
    <w:rsid w:val="7D2574E6"/>
    <w:rsid w:val="7E3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46A12"/>
  <w15:chartTrackingRefBased/>
  <w15:docId w15:val="{4BAA8E78-F91D-4F88-8122-E0692FED4C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2D2"/>
    <w:pPr>
      <w:keepNext/>
      <w:keepLines/>
      <w:spacing w:before="240" w:after="0" w:line="240" w:lineRule="auto"/>
      <w:outlineLvl w:val="0"/>
    </w:pPr>
    <w:rPr>
      <w:rFonts w:ascii="Arial" w:hAnsi="Arial" w:eastAsiaTheme="majorEastAsia" w:cstheme="majorBidi"/>
      <w:color w:val="1F4E79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2D2"/>
    <w:pPr>
      <w:keepNext/>
      <w:keepLines/>
      <w:spacing w:before="40" w:after="0" w:line="240" w:lineRule="auto"/>
      <w:outlineLvl w:val="1"/>
    </w:pPr>
    <w:rPr>
      <w:rFonts w:ascii="Arial" w:hAnsi="Arial" w:eastAsiaTheme="majorEastAsia" w:cstheme="majorBidi"/>
      <w:color w:val="1F4E79" w:themeColor="accent1" w:themeShade="80"/>
      <w:sz w:val="27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F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A7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04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7049"/>
  </w:style>
  <w:style w:type="paragraph" w:styleId="Footer">
    <w:name w:val="footer"/>
    <w:basedOn w:val="Normal"/>
    <w:link w:val="FooterChar"/>
    <w:uiPriority w:val="99"/>
    <w:unhideWhenUsed/>
    <w:rsid w:val="000E704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7049"/>
  </w:style>
  <w:style w:type="paragraph" w:styleId="NoSpacing">
    <w:name w:val="No Spacing"/>
    <w:uiPriority w:val="1"/>
    <w:qFormat/>
    <w:rsid w:val="000E70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04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BA02D2"/>
    <w:rPr>
      <w:rFonts w:ascii="Arial" w:hAnsi="Arial" w:eastAsiaTheme="majorEastAsia" w:cstheme="majorBidi"/>
      <w:color w:val="1F4E79" w:themeColor="accent1" w:themeShade="80"/>
      <w:sz w:val="30"/>
      <w:szCs w:val="30"/>
    </w:rPr>
  </w:style>
  <w:style w:type="character" w:styleId="Heading2Char" w:customStyle="1">
    <w:name w:val="Heading 2 Char"/>
    <w:basedOn w:val="DefaultParagraphFont"/>
    <w:link w:val="Heading2"/>
    <w:uiPriority w:val="9"/>
    <w:rsid w:val="00BA02D2"/>
    <w:rPr>
      <w:rFonts w:ascii="Arial" w:hAnsi="Arial" w:eastAsiaTheme="majorEastAsia" w:cstheme="majorBidi"/>
      <w:color w:val="1F4E79" w:themeColor="accent1" w:themeShade="80"/>
      <w:sz w:val="27"/>
      <w:szCs w:val="25"/>
    </w:rPr>
  </w:style>
  <w:style w:type="character" w:styleId="Heading3Char" w:customStyle="1">
    <w:name w:val="Heading 3 Char"/>
    <w:basedOn w:val="DefaultParagraphFont"/>
    <w:link w:val="Heading3"/>
    <w:uiPriority w:val="9"/>
    <w:rsid w:val="003277F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77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CH"/>
    </w:rPr>
  </w:style>
  <w:style w:type="character" w:styleId="Strong">
    <w:name w:val="Strong"/>
    <w:basedOn w:val="DefaultParagraphFont"/>
    <w:uiPriority w:val="22"/>
    <w:qFormat/>
    <w:rsid w:val="003277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6866"/>
    <w:rPr>
      <w:rFonts w:ascii="Segoe UI" w:hAnsi="Segoe UI" w:cs="Segoe UI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sid w:val="003F7A76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D87D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5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6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15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6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56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4333F34824884D8C71D16C73833090" ma:contentTypeVersion="15" ma:contentTypeDescription="Ein neues Dokument erstellen." ma:contentTypeScope="" ma:versionID="3bf4d1bd34b6aab37851e950dd766836">
  <xsd:schema xmlns:xsd="http://www.w3.org/2001/XMLSchema" xmlns:xs="http://www.w3.org/2001/XMLSchema" xmlns:p="http://schemas.microsoft.com/office/2006/metadata/properties" xmlns:ns2="1d6764cd-27d4-42cb-8e61-b1094288ec12" xmlns:ns3="e4b00ced-68d1-4cc6-9f87-ae543fc4dbc3" targetNamespace="http://schemas.microsoft.com/office/2006/metadata/properties" ma:root="true" ma:fieldsID="d824e2ecf485ab2d6e9da8344ac78621" ns2:_="" ns3:_="">
    <xsd:import namespace="1d6764cd-27d4-42cb-8e61-b1094288ec12"/>
    <xsd:import namespace="e4b00ced-68d1-4cc6-9f87-ae543fc4d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64cd-27d4-42cb-8e61-b1094288e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14f4ed4-d405-4dda-95fd-157809c13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0ced-68d1-4cc6-9f87-ae543fc4d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849a12-910e-498b-aa70-b95bfd74d37e}" ma:internalName="TaxCatchAll" ma:showField="CatchAllData" ma:web="e4b00ced-68d1-4cc6-9f87-ae543fc4d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764cd-27d4-42cb-8e61-b1094288ec12">
      <Terms xmlns="http://schemas.microsoft.com/office/infopath/2007/PartnerControls"/>
    </lcf76f155ced4ddcb4097134ff3c332f>
    <TaxCatchAll xmlns="e4b00ced-68d1-4cc6-9f87-ae543fc4db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51851-02D9-4706-B426-22032BF13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764cd-27d4-42cb-8e61-b1094288ec12"/>
    <ds:schemaRef ds:uri="e4b00ced-68d1-4cc6-9f87-ae543fc4d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29C8E-BE75-4F1F-9A1C-332ABEFFB2C9}">
  <ds:schemaRefs>
    <ds:schemaRef ds:uri="http://schemas.microsoft.com/office/2006/metadata/properties"/>
    <ds:schemaRef ds:uri="http://schemas.microsoft.com/office/infopath/2007/PartnerControls"/>
    <ds:schemaRef ds:uri="1d6764cd-27d4-42cb-8e61-b1094288ec12"/>
    <ds:schemaRef ds:uri="e4b00ced-68d1-4cc6-9f87-ae543fc4dbc3"/>
  </ds:schemaRefs>
</ds:datastoreItem>
</file>

<file path=customXml/itemProps3.xml><?xml version="1.0" encoding="utf-8"?>
<ds:datastoreItem xmlns:ds="http://schemas.openxmlformats.org/officeDocument/2006/customXml" ds:itemID="{841EEEA5-07F0-4E3E-A642-67194389ED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Claudine Renaud Chesneau</dc:creator>
  <keywords>, docId:2CFD29E04DF7C7BF313A47609302E5EC</keywords>
  <dc:description/>
  <lastModifiedBy>Ursula Blumenthal</lastModifiedBy>
  <revision>11</revision>
  <lastPrinted>2025-02-13T23:31:00.0000000Z</lastPrinted>
  <dcterms:created xsi:type="dcterms:W3CDTF">2025-02-13T23:32:00.0000000Z</dcterms:created>
  <dcterms:modified xsi:type="dcterms:W3CDTF">2025-02-14T07:40:20.6756443Z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0x010100C44333F34824884D8C71D16C73833090</vt:lpwstr>
  </property>
  <property fmtid="{D5CDD505-2E9C-101B-9397-08002B2CF9AE}" pid="3" name="MediaServiceImageTags">
    <vt:lpwstr/>
  </property>
</Properties>
</file>